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b/>
        </w:rPr>
        <w:alias w:val="Vaše meno"/>
        <w:tag w:val=""/>
        <w:id w:val="-574512284"/>
        <w:placeholder>
          <w:docPart w:val="223B9FFA8C5E47209DCA99CABA8248D5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2179B6" w:rsidRPr="00BB0B41" w:rsidRDefault="00832ABD" w:rsidP="002179B6">
          <w:pPr>
            <w:pStyle w:val="Meno"/>
            <w:rPr>
              <w:b/>
            </w:rPr>
          </w:pPr>
          <w:r>
            <w:rPr>
              <w:b/>
            </w:rPr>
            <w:t>AUTEX emulsynt</w:t>
          </w:r>
        </w:p>
      </w:sdtContent>
    </w:sdt>
    <w:tbl>
      <w:tblPr>
        <w:tblStyle w:val="Tabukaivotopisu"/>
        <w:tblW w:w="5000" w:type="pct"/>
        <w:tblInd w:w="-142" w:type="dxa"/>
        <w:tblLook w:val="04A0" w:firstRow="1" w:lastRow="0" w:firstColumn="1" w:lastColumn="0" w:noHBand="0" w:noVBand="1"/>
      </w:tblPr>
      <w:tblGrid>
        <w:gridCol w:w="1582"/>
        <w:gridCol w:w="27"/>
        <w:gridCol w:w="7463"/>
      </w:tblGrid>
      <w:tr w:rsidR="002179B6" w:rsidRPr="004765EA" w:rsidTr="00DF177C">
        <w:tc>
          <w:tcPr>
            <w:tcW w:w="1582" w:type="dxa"/>
          </w:tcPr>
          <w:p w:rsidR="002179B6" w:rsidRPr="00BC7CE9" w:rsidRDefault="002179B6" w:rsidP="00693AD7">
            <w:pPr>
              <w:pStyle w:val="Nadpis1"/>
              <w:spacing w:line="312" w:lineRule="auto"/>
              <w:jc w:val="left"/>
              <w:outlineLvl w:val="0"/>
              <w:rPr>
                <w:b/>
              </w:rPr>
            </w:pPr>
            <w:r w:rsidRPr="00BC7CE9">
              <w:rPr>
                <w:b/>
              </w:rPr>
              <w:t>pOPIS</w:t>
            </w:r>
          </w:p>
        </w:tc>
        <w:tc>
          <w:tcPr>
            <w:tcW w:w="27" w:type="dxa"/>
          </w:tcPr>
          <w:p w:rsidR="002179B6" w:rsidRDefault="002179B6" w:rsidP="00693AD7">
            <w:pPr>
              <w:spacing w:line="312" w:lineRule="auto"/>
            </w:pPr>
          </w:p>
        </w:tc>
        <w:tc>
          <w:tcPr>
            <w:tcW w:w="7463" w:type="dxa"/>
          </w:tcPr>
          <w:p w:rsidR="00DF177C" w:rsidRDefault="00E5386F" w:rsidP="004326F1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F177C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 xml:space="preserve">AUTEX </w:t>
            </w:r>
            <w:proofErr w:type="spellStart"/>
            <w:r w:rsidR="00DF177C" w:rsidRPr="00DF177C">
              <w:rPr>
                <w:rFonts w:ascii="Arial Unicode MS" w:eastAsia="Arial Unicode MS" w:hAnsi="Arial Unicode MS" w:cs="Arial Unicode MS"/>
                <w:sz w:val="18"/>
                <w:szCs w:val="18"/>
              </w:rPr>
              <w:t>Emulsynt</w:t>
            </w:r>
            <w:proofErr w:type="spellEnd"/>
            <w:r w:rsidR="00546A6A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  <w:r w:rsidR="00DF177C" w:rsidRPr="00DF177C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  <w:r w:rsidR="000B6D1F" w:rsidRPr="00DF177C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je </w:t>
            </w:r>
            <w:r w:rsidR="004765EA" w:rsidRPr="00DF177C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  <w:r w:rsidR="00DF177C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  <w:r w:rsidR="00DF177C" w:rsidRPr="00DF177C">
              <w:rPr>
                <w:rFonts w:ascii="Arial Unicode MS" w:eastAsia="Arial Unicode MS" w:hAnsi="Arial Unicode MS" w:cs="Arial Unicode MS"/>
                <w:sz w:val="18"/>
                <w:szCs w:val="18"/>
              </w:rPr>
              <w:t>univerzálna kovoobrábacia kvapalina</w:t>
            </w:r>
            <w:r w:rsidR="00DF177C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, </w:t>
            </w:r>
            <w:r w:rsidR="00DF177C" w:rsidRPr="00DF177C">
              <w:rPr>
                <w:rFonts w:ascii="Arial Unicode MS" w:eastAsia="Arial Unicode MS" w:hAnsi="Arial Unicode MS" w:cs="Arial Unicode MS"/>
                <w:sz w:val="18"/>
                <w:szCs w:val="18"/>
              </w:rPr>
              <w:t>vodou mi</w:t>
            </w:r>
            <w:r w:rsidR="00DF177C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ešateľná </w:t>
            </w:r>
            <w:r w:rsidR="00DF177C" w:rsidRPr="00DF177C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bez obsahu bóru s vysokým obsahom</w:t>
            </w:r>
            <w:r w:rsidR="00DF177C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  <w:r w:rsidR="00DF177C" w:rsidRPr="00DF177C">
              <w:rPr>
                <w:rFonts w:ascii="Arial Unicode MS" w:eastAsia="Arial Unicode MS" w:hAnsi="Arial Unicode MS" w:cs="Arial Unicode MS"/>
                <w:sz w:val="18"/>
                <w:szCs w:val="18"/>
              </w:rPr>
              <w:t>minerálneho oleja. Produkt obsahuje rafinované minerálne oleje, emulgátor, inhibítor korózie, ako aj modifikátor</w:t>
            </w:r>
            <w:r w:rsidR="00DF177C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  <w:r w:rsidR="00DF177C" w:rsidRPr="00DF177C">
              <w:rPr>
                <w:rFonts w:ascii="Arial Unicode MS" w:eastAsia="Arial Unicode MS" w:hAnsi="Arial Unicode MS" w:cs="Arial Unicode MS"/>
                <w:sz w:val="18"/>
                <w:szCs w:val="18"/>
              </w:rPr>
              <w:t>trenia a optimalizované biocídne prísady.</w:t>
            </w:r>
            <w:r w:rsidR="00DF177C" w:rsidRPr="00DF177C">
              <w:rPr>
                <w:rFonts w:ascii="Arial Unicode MS" w:eastAsia="Arial Unicode MS" w:hAnsi="Arial Unicode MS" w:cs="Arial Unicode MS"/>
                <w:sz w:val="18"/>
                <w:szCs w:val="18"/>
              </w:rPr>
              <w:br/>
              <w:t xml:space="preserve">Neobsahuje MBO, MBM a HPT formaldehydové </w:t>
            </w:r>
            <w:proofErr w:type="spellStart"/>
            <w:r w:rsidR="00DF177C" w:rsidRPr="00DF177C">
              <w:rPr>
                <w:rFonts w:ascii="Arial Unicode MS" w:eastAsia="Arial Unicode MS" w:hAnsi="Arial Unicode MS" w:cs="Arial Unicode MS"/>
                <w:sz w:val="18"/>
                <w:szCs w:val="18"/>
              </w:rPr>
              <w:t>donory</w:t>
            </w:r>
            <w:proofErr w:type="spellEnd"/>
            <w:r w:rsidR="00DF177C" w:rsidRPr="00DF177C">
              <w:rPr>
                <w:rFonts w:ascii="Arial Unicode MS" w:eastAsia="Arial Unicode MS" w:hAnsi="Arial Unicode MS" w:cs="Arial Unicode MS"/>
                <w:sz w:val="18"/>
                <w:szCs w:val="18"/>
              </w:rPr>
              <w:t>.</w:t>
            </w:r>
          </w:p>
          <w:p w:rsidR="002179B6" w:rsidRPr="00DF177C" w:rsidRDefault="00DF177C" w:rsidP="004326F1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F177C">
              <w:rPr>
                <w:rFonts w:ascii="Arial Unicode MS" w:eastAsia="Arial Unicode MS" w:hAnsi="Arial Unicode MS" w:cs="Arial Unicode MS"/>
                <w:sz w:val="18"/>
                <w:szCs w:val="18"/>
              </w:rPr>
              <w:br/>
              <w:t>Na prípravu emulzie sa odporúča použiť zmiešavacie zariadenie. Koncentrát je vždy potrebný pridať do vody počas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  <w:r w:rsidRPr="00DF177C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miešania. Koncentrácia pripravenej emulzie by sa mala skontrolovať pomocou kalibrovaného </w:t>
            </w:r>
            <w:proofErr w:type="spellStart"/>
            <w:r w:rsidRPr="00DF177C">
              <w:rPr>
                <w:rFonts w:ascii="Arial Unicode MS" w:eastAsia="Arial Unicode MS" w:hAnsi="Arial Unicode MS" w:cs="Arial Unicode MS"/>
                <w:sz w:val="18"/>
                <w:szCs w:val="18"/>
              </w:rPr>
              <w:t>refraktometra</w:t>
            </w:r>
            <w:proofErr w:type="spellEnd"/>
            <w:r w:rsidRPr="00DF177C">
              <w:rPr>
                <w:rFonts w:ascii="Arial Unicode MS" w:eastAsia="Arial Unicode MS" w:hAnsi="Arial Unicode MS" w:cs="Arial Unicode MS"/>
                <w:sz w:val="18"/>
                <w:szCs w:val="18"/>
              </w:rPr>
              <w:t>.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  <w:r w:rsidR="0012527B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  <w:bookmarkStart w:id="0" w:name="_GoBack"/>
            <w:bookmarkEnd w:id="0"/>
            <w:proofErr w:type="spellStart"/>
            <w:r w:rsidRPr="00DF177C">
              <w:rPr>
                <w:rFonts w:ascii="Arial Unicode MS" w:eastAsia="Arial Unicode MS" w:hAnsi="Arial Unicode MS" w:cs="Arial Unicode MS"/>
                <w:sz w:val="18"/>
                <w:szCs w:val="18"/>
              </w:rPr>
              <w:t>Refraktometrický</w:t>
            </w:r>
            <w:proofErr w:type="spellEnd"/>
            <w:r w:rsidRPr="00DF177C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faktor: 0,9. Čistota systému je určujúcim faktorom, pokiaľ ide o dobu životnosti emulzie, a preto sa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  <w:r w:rsidRPr="00DF177C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odporúča použiť MOL </w:t>
            </w:r>
            <w:proofErr w:type="spellStart"/>
            <w:r w:rsidRPr="00DF177C">
              <w:rPr>
                <w:rFonts w:ascii="Arial Unicode MS" w:eastAsia="Arial Unicode MS" w:hAnsi="Arial Unicode MS" w:cs="Arial Unicode MS"/>
                <w:sz w:val="18"/>
                <w:szCs w:val="18"/>
              </w:rPr>
              <w:t>Netsol</w:t>
            </w:r>
            <w:proofErr w:type="spellEnd"/>
            <w:r w:rsidRPr="00DF177C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SC čistič systému pred každou výmenou. Odolnosť voči mikroorganizmom sa</w:t>
            </w:r>
            <w:r w:rsidRPr="00DF177C">
              <w:rPr>
                <w:rFonts w:ascii="Arial Unicode MS" w:eastAsia="Arial Unicode MS" w:hAnsi="Arial Unicode MS" w:cs="Arial Unicode MS"/>
                <w:sz w:val="18"/>
                <w:szCs w:val="18"/>
              </w:rPr>
              <w:br/>
              <w:t>zabezpečí tým, že sa udržuje minimálna koncentrácia emulzie 4-5% (V/V).</w:t>
            </w:r>
          </w:p>
        </w:tc>
      </w:tr>
      <w:tr w:rsidR="002179B6" w:rsidTr="00DF177C">
        <w:tc>
          <w:tcPr>
            <w:tcW w:w="1582" w:type="dxa"/>
          </w:tcPr>
          <w:p w:rsidR="002179B6" w:rsidRPr="00BC7CE9" w:rsidRDefault="002179B6" w:rsidP="00693AD7">
            <w:pPr>
              <w:pStyle w:val="Nadpis1"/>
              <w:spacing w:line="312" w:lineRule="auto"/>
              <w:jc w:val="left"/>
              <w:outlineLvl w:val="0"/>
              <w:rPr>
                <w:b/>
              </w:rPr>
            </w:pPr>
            <w:r w:rsidRPr="00BC7CE9">
              <w:rPr>
                <w:b/>
                <w:lang w:bidi="sk-SK"/>
              </w:rPr>
              <w:t>pOUžITIE</w:t>
            </w:r>
          </w:p>
        </w:tc>
        <w:tc>
          <w:tcPr>
            <w:tcW w:w="27" w:type="dxa"/>
          </w:tcPr>
          <w:p w:rsidR="002179B6" w:rsidRPr="008C0706" w:rsidRDefault="002179B6" w:rsidP="00693AD7">
            <w:pPr>
              <w:spacing w:line="312" w:lineRule="auto"/>
              <w:rPr>
                <w:sz w:val="18"/>
                <w:szCs w:val="18"/>
              </w:rPr>
            </w:pPr>
          </w:p>
        </w:tc>
        <w:tc>
          <w:tcPr>
            <w:tcW w:w="7463" w:type="dxa"/>
          </w:tcPr>
          <w:p w:rsidR="00DF177C" w:rsidRPr="00DF177C" w:rsidRDefault="00DF177C" w:rsidP="00DF177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sk-SK"/>
              </w:rPr>
            </w:pPr>
            <w:r w:rsidRPr="00DF177C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sk-SK"/>
              </w:rPr>
              <w:t xml:space="preserve">Trieskové a </w:t>
            </w:r>
            <w:proofErr w:type="spellStart"/>
            <w:r w:rsidRPr="00DF177C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sk-SK"/>
              </w:rPr>
              <w:t>beztrieskové</w:t>
            </w:r>
            <w:proofErr w:type="spellEnd"/>
            <w:r w:rsidRPr="00DF177C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sk-SK"/>
              </w:rPr>
              <w:t xml:space="preserve"> obrábanie ocele, zliatin, ľahkých a žltých kovov</w:t>
            </w:r>
          </w:p>
          <w:p w:rsidR="00DF177C" w:rsidRPr="00DF177C" w:rsidRDefault="00DF177C" w:rsidP="00DF177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sk-SK"/>
              </w:rPr>
            </w:pPr>
            <w:r w:rsidRPr="00DF177C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sk-SK"/>
              </w:rPr>
              <w:t>Rôzne rezné operácie (sústruženie, vŕtanie, rezanie závitov, atď.)</w:t>
            </w:r>
          </w:p>
          <w:p w:rsidR="00DF177C" w:rsidRPr="00DF177C" w:rsidRDefault="00DF177C" w:rsidP="00DF177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sk-SK"/>
              </w:rPr>
            </w:pPr>
            <w:r w:rsidRPr="00DF177C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sk-SK"/>
              </w:rPr>
              <w:t xml:space="preserve">Trieskové obrábanie </w:t>
            </w:r>
            <w:proofErr w:type="spellStart"/>
            <w:r w:rsidRPr="00DF177C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sk-SK"/>
              </w:rPr>
              <w:t>gulôčko-grafitových</w:t>
            </w:r>
            <w:proofErr w:type="spellEnd"/>
            <w:r w:rsidRPr="00DF177C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sk-SK"/>
              </w:rPr>
              <w:t xml:space="preserve"> a šedých zliatin</w:t>
            </w:r>
          </w:p>
          <w:p w:rsidR="00E5386F" w:rsidRPr="00DF177C" w:rsidRDefault="00DF177C" w:rsidP="00DF177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sk-SK"/>
              </w:rPr>
            </w:pPr>
            <w:r w:rsidRPr="00DF177C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sk-SK"/>
              </w:rPr>
              <w:t>Na priemyselné použitie.</w:t>
            </w:r>
          </w:p>
        </w:tc>
      </w:tr>
      <w:tr w:rsidR="002179B6" w:rsidRPr="00BB0B41" w:rsidTr="00DF177C">
        <w:tc>
          <w:tcPr>
            <w:tcW w:w="1582" w:type="dxa"/>
            <w:tcBorders>
              <w:bottom w:val="single" w:sz="4" w:space="0" w:color="4F81BD" w:themeColor="accent1"/>
            </w:tcBorders>
          </w:tcPr>
          <w:p w:rsidR="002179B6" w:rsidRPr="00BC7CE9" w:rsidRDefault="002179B6" w:rsidP="00693AD7">
            <w:pPr>
              <w:pStyle w:val="Nadpis1"/>
              <w:spacing w:line="312" w:lineRule="auto"/>
              <w:jc w:val="left"/>
              <w:outlineLvl w:val="0"/>
              <w:rPr>
                <w:b/>
              </w:rPr>
            </w:pPr>
            <w:r>
              <w:rPr>
                <w:b/>
              </w:rPr>
              <w:t>vlastnosti</w:t>
            </w:r>
          </w:p>
        </w:tc>
        <w:tc>
          <w:tcPr>
            <w:tcW w:w="27" w:type="dxa"/>
            <w:tcBorders>
              <w:bottom w:val="single" w:sz="4" w:space="0" w:color="4F81BD" w:themeColor="accent1"/>
            </w:tcBorders>
          </w:tcPr>
          <w:p w:rsidR="002179B6" w:rsidRDefault="002179B6" w:rsidP="00693AD7">
            <w:pPr>
              <w:spacing w:line="312" w:lineRule="auto"/>
            </w:pPr>
          </w:p>
        </w:tc>
        <w:tc>
          <w:tcPr>
            <w:tcW w:w="7463" w:type="dxa"/>
            <w:tcBorders>
              <w:bottom w:val="single" w:sz="4" w:space="0" w:color="4F81BD" w:themeColor="accent1"/>
            </w:tcBorders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18"/>
              <w:gridCol w:w="4945"/>
            </w:tblGrid>
            <w:tr w:rsidR="00DF177C" w:rsidRPr="00DF177C" w:rsidTr="00DF177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F177C" w:rsidRPr="00DF177C" w:rsidRDefault="00DF177C" w:rsidP="00DF177C">
                  <w:pPr>
                    <w:spacing w:before="0" w:after="0" w:line="240" w:lineRule="auto"/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</w:pPr>
                  <w:r w:rsidRPr="00DF177C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>Univerzálny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F177C" w:rsidRPr="00DF177C" w:rsidRDefault="00DF177C" w:rsidP="00DF177C">
                  <w:pPr>
                    <w:numPr>
                      <w:ilvl w:val="0"/>
                      <w:numId w:val="12"/>
                    </w:numPr>
                    <w:spacing w:before="100" w:beforeAutospacing="1" w:after="100" w:afterAutospacing="1" w:line="240" w:lineRule="auto"/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</w:pPr>
                  <w:r w:rsidRPr="00DF177C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>Široký rozsah použitia umožňuje zníženie počtu mazacích olejov</w:t>
                  </w:r>
                </w:p>
                <w:p w:rsidR="00DF177C" w:rsidRPr="00DF177C" w:rsidRDefault="00DF177C" w:rsidP="00DF177C">
                  <w:pPr>
                    <w:numPr>
                      <w:ilvl w:val="0"/>
                      <w:numId w:val="12"/>
                    </w:numPr>
                    <w:spacing w:before="100" w:beforeAutospacing="1" w:after="100" w:afterAutospacing="1" w:line="240" w:lineRule="auto"/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</w:pPr>
                  <w:r w:rsidRPr="00DF177C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>Vhodný pre individuálne a centrálne mazacie systémy</w:t>
                  </w:r>
                </w:p>
              </w:tc>
            </w:tr>
            <w:tr w:rsidR="00DF177C" w:rsidRPr="00DF177C" w:rsidTr="00DF177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F177C" w:rsidRPr="00DF177C" w:rsidRDefault="00DF177C" w:rsidP="00DF177C">
                  <w:pPr>
                    <w:spacing w:before="0" w:after="0" w:line="240" w:lineRule="auto"/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</w:pPr>
                  <w:r w:rsidRPr="00DF177C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>Ľahko miešateľné s vodou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F177C" w:rsidRPr="00DF177C" w:rsidRDefault="00DF177C" w:rsidP="00DF177C">
                  <w:pPr>
                    <w:numPr>
                      <w:ilvl w:val="0"/>
                      <w:numId w:val="13"/>
                    </w:numPr>
                    <w:spacing w:before="100" w:beforeAutospacing="1" w:after="100" w:afterAutospacing="1" w:line="240" w:lineRule="auto"/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</w:pPr>
                  <w:r w:rsidRPr="00DF177C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>Jednoduchá a rýchla príprava emulzie</w:t>
                  </w:r>
                </w:p>
              </w:tc>
            </w:tr>
            <w:tr w:rsidR="00DF177C" w:rsidRPr="00DF177C" w:rsidTr="00DF177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F177C" w:rsidRPr="00DF177C" w:rsidRDefault="00DF177C" w:rsidP="00DF177C">
                  <w:pPr>
                    <w:spacing w:before="0" w:after="0" w:line="240" w:lineRule="auto"/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</w:pPr>
                  <w:r w:rsidRPr="00DF177C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>Vynikajúca mazacia schopnosť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F177C" w:rsidRPr="00DF177C" w:rsidRDefault="00DF177C" w:rsidP="00DF177C">
                  <w:pPr>
                    <w:numPr>
                      <w:ilvl w:val="0"/>
                      <w:numId w:val="14"/>
                    </w:numPr>
                    <w:spacing w:before="100" w:beforeAutospacing="1" w:after="100" w:afterAutospacing="1" w:line="240" w:lineRule="auto"/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</w:pPr>
                  <w:r w:rsidRPr="00DF177C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>Vynikajúca kvalita povrchu a vysoká presnosť výroby</w:t>
                  </w:r>
                </w:p>
                <w:p w:rsidR="00DF177C" w:rsidRPr="00DF177C" w:rsidRDefault="00DF177C" w:rsidP="00DF177C">
                  <w:pPr>
                    <w:numPr>
                      <w:ilvl w:val="0"/>
                      <w:numId w:val="14"/>
                    </w:numPr>
                    <w:spacing w:before="100" w:beforeAutospacing="1" w:after="100" w:afterAutospacing="1" w:line="240" w:lineRule="auto"/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</w:pPr>
                  <w:r w:rsidRPr="00DF177C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>Vyššia produktivita, nižšie výrobné náklady</w:t>
                  </w:r>
                </w:p>
              </w:tc>
            </w:tr>
            <w:tr w:rsidR="00DF177C" w:rsidRPr="00DF177C" w:rsidTr="00DF177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F177C" w:rsidRPr="00DF177C" w:rsidRDefault="00DF177C" w:rsidP="00DF177C">
                  <w:pPr>
                    <w:spacing w:before="0" w:after="0" w:line="240" w:lineRule="auto"/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</w:pPr>
                  <w:r w:rsidRPr="00DF177C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>Nízka penivosť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F177C" w:rsidRPr="00DF177C" w:rsidRDefault="00DF177C" w:rsidP="00DF177C">
                  <w:pPr>
                    <w:numPr>
                      <w:ilvl w:val="0"/>
                      <w:numId w:val="15"/>
                    </w:numPr>
                    <w:spacing w:before="100" w:beforeAutospacing="1" w:after="100" w:afterAutospacing="1" w:line="240" w:lineRule="auto"/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</w:pPr>
                  <w:r w:rsidRPr="00DF177C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>Aplikovateľné v zariadeniach pracujúcich pri vysokom tlaku</w:t>
                  </w:r>
                </w:p>
                <w:p w:rsidR="00DF177C" w:rsidRPr="00DF177C" w:rsidRDefault="00DF177C" w:rsidP="00DF177C">
                  <w:pPr>
                    <w:numPr>
                      <w:ilvl w:val="0"/>
                      <w:numId w:val="15"/>
                    </w:numPr>
                    <w:spacing w:before="100" w:beforeAutospacing="1" w:after="100" w:afterAutospacing="1" w:line="240" w:lineRule="auto"/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</w:pPr>
                  <w:r w:rsidRPr="00DF177C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>Vytvára súvislý mazací film, poskytuje vyvážený chladiaci a mazací účinok</w:t>
                  </w:r>
                </w:p>
                <w:p w:rsidR="00DF177C" w:rsidRPr="00DF177C" w:rsidRDefault="00DF177C" w:rsidP="00DF177C">
                  <w:pPr>
                    <w:numPr>
                      <w:ilvl w:val="0"/>
                      <w:numId w:val="15"/>
                    </w:numPr>
                    <w:spacing w:before="100" w:beforeAutospacing="1" w:after="100" w:afterAutospacing="1" w:line="240" w:lineRule="auto"/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</w:pPr>
                  <w:r w:rsidRPr="00DF177C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>Vynikajúca kvalita povrchu a vysoká presnosť výroby</w:t>
                  </w:r>
                </w:p>
                <w:p w:rsidR="00DF177C" w:rsidRPr="00DF177C" w:rsidRDefault="00DF177C" w:rsidP="00DF177C">
                  <w:pPr>
                    <w:numPr>
                      <w:ilvl w:val="0"/>
                      <w:numId w:val="15"/>
                    </w:numPr>
                    <w:spacing w:before="100" w:beforeAutospacing="1" w:after="100" w:afterAutospacing="1" w:line="240" w:lineRule="auto"/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</w:pPr>
                  <w:r w:rsidRPr="00DF177C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>Menej prestojov, nižšie náklady na údržbu</w:t>
                  </w:r>
                </w:p>
              </w:tc>
            </w:tr>
            <w:tr w:rsidR="00DF177C" w:rsidRPr="00DF177C" w:rsidTr="00DF177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F177C" w:rsidRPr="00DF177C" w:rsidRDefault="00DF177C" w:rsidP="00DF177C">
                  <w:pPr>
                    <w:spacing w:before="0" w:after="0" w:line="240" w:lineRule="auto"/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</w:pPr>
                  <w:r w:rsidRPr="00DF177C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lastRenderedPageBreak/>
                    <w:t>Stabilný voči mikrobiologickej infekcii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F177C" w:rsidRPr="00DF177C" w:rsidRDefault="00DF177C" w:rsidP="00DF177C">
                  <w:pPr>
                    <w:numPr>
                      <w:ilvl w:val="0"/>
                      <w:numId w:val="16"/>
                    </w:numPr>
                    <w:spacing w:before="100" w:beforeAutospacing="1" w:after="100" w:afterAutospacing="1" w:line="240" w:lineRule="auto"/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</w:pPr>
                  <w:r w:rsidRPr="00DF177C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>Dlhý výmenný interval, pozitívne pracovné prostredie, efektívnosť nákladov</w:t>
                  </w:r>
                </w:p>
              </w:tc>
            </w:tr>
            <w:tr w:rsidR="00DF177C" w:rsidRPr="00DF177C" w:rsidTr="00DF177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F177C" w:rsidRPr="00DF177C" w:rsidRDefault="00DF177C" w:rsidP="00DF177C">
                  <w:pPr>
                    <w:spacing w:before="0" w:after="0" w:line="240" w:lineRule="auto"/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</w:pPr>
                  <w:r w:rsidRPr="00DF177C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>Vynikajúce oplachovacie vlastnosti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F177C" w:rsidRPr="00DF177C" w:rsidRDefault="00DF177C" w:rsidP="00DF177C">
                  <w:pPr>
                    <w:numPr>
                      <w:ilvl w:val="0"/>
                      <w:numId w:val="17"/>
                    </w:numPr>
                    <w:spacing w:before="100" w:beforeAutospacing="1" w:after="100" w:afterAutospacing="1" w:line="240" w:lineRule="auto"/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</w:pPr>
                  <w:r w:rsidRPr="00DF177C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>Vynikajúca odolnosť obrábaného povrchu</w:t>
                  </w:r>
                </w:p>
                <w:p w:rsidR="00DF177C" w:rsidRPr="00DF177C" w:rsidRDefault="00DF177C" w:rsidP="00DF177C">
                  <w:pPr>
                    <w:numPr>
                      <w:ilvl w:val="0"/>
                      <w:numId w:val="17"/>
                    </w:numPr>
                    <w:spacing w:before="100" w:beforeAutospacing="1" w:after="100" w:afterAutospacing="1" w:line="240" w:lineRule="auto"/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</w:pPr>
                  <w:r w:rsidRPr="00DF177C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>Čisté obrábacie stroje a obrobky aj pri obrábaní liatiny</w:t>
                  </w:r>
                </w:p>
              </w:tc>
            </w:tr>
            <w:tr w:rsidR="00DF177C" w:rsidRPr="00DF177C" w:rsidTr="00DF177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F177C" w:rsidRPr="00DF177C" w:rsidRDefault="00DF177C" w:rsidP="00DF177C">
                  <w:pPr>
                    <w:spacing w:before="0" w:after="0" w:line="240" w:lineRule="auto"/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</w:pPr>
                  <w:r w:rsidRPr="00DF177C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>Vynikajúca ochrana proti korózii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F177C" w:rsidRPr="00DF177C" w:rsidRDefault="00DF177C" w:rsidP="00DF177C">
                  <w:pPr>
                    <w:numPr>
                      <w:ilvl w:val="0"/>
                      <w:numId w:val="18"/>
                    </w:numPr>
                    <w:spacing w:before="100" w:beforeAutospacing="1" w:after="100" w:afterAutospacing="1" w:line="240" w:lineRule="auto"/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</w:pPr>
                  <w:r w:rsidRPr="00DF177C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>Na medených častiach nevytvára škvrny</w:t>
                  </w:r>
                </w:p>
              </w:tc>
            </w:tr>
            <w:tr w:rsidR="00DF177C" w:rsidRPr="00DF177C" w:rsidTr="00DF177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F177C" w:rsidRPr="00DF177C" w:rsidRDefault="00DF177C" w:rsidP="00DF177C">
                  <w:pPr>
                    <w:spacing w:before="0" w:after="0" w:line="240" w:lineRule="auto"/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</w:pPr>
                  <w:r w:rsidRPr="00DF177C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>Vynikajúca dočasná ochrana proti korózii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F177C" w:rsidRPr="00DF177C" w:rsidRDefault="00DF177C" w:rsidP="00DF177C">
                  <w:pPr>
                    <w:numPr>
                      <w:ilvl w:val="0"/>
                      <w:numId w:val="19"/>
                    </w:numPr>
                    <w:spacing w:before="100" w:beforeAutospacing="1" w:after="100" w:afterAutospacing="1" w:line="240" w:lineRule="auto"/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</w:pPr>
                  <w:r w:rsidRPr="00DF177C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>Účinná dočasná ochrana obrobkov voči korózii, znižuje náklady na povrchovú úpravu</w:t>
                  </w:r>
                </w:p>
              </w:tc>
            </w:tr>
            <w:tr w:rsidR="00DF177C" w:rsidRPr="00DF177C" w:rsidTr="00DF177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F177C" w:rsidRPr="00DF177C" w:rsidRDefault="00DF177C" w:rsidP="00DF177C">
                  <w:pPr>
                    <w:spacing w:before="0" w:after="0" w:line="240" w:lineRule="auto"/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</w:pPr>
                  <w:r w:rsidRPr="00DF177C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>Dobrá odolnosť voči tvrdej vode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F177C" w:rsidRPr="00DF177C" w:rsidRDefault="00DF177C" w:rsidP="00DF177C">
                  <w:pPr>
                    <w:numPr>
                      <w:ilvl w:val="0"/>
                      <w:numId w:val="20"/>
                    </w:numPr>
                    <w:spacing w:before="100" w:beforeAutospacing="1" w:after="100" w:afterAutospacing="1" w:line="240" w:lineRule="auto"/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</w:pPr>
                  <w:r w:rsidRPr="00DF177C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>Vytvára stabilnú emulziu aj s tvrdou vodou</w:t>
                  </w:r>
                </w:p>
                <w:p w:rsidR="00DF177C" w:rsidRPr="00DF177C" w:rsidRDefault="00DF177C" w:rsidP="00DF177C">
                  <w:pPr>
                    <w:numPr>
                      <w:ilvl w:val="0"/>
                      <w:numId w:val="20"/>
                    </w:numPr>
                    <w:spacing w:before="100" w:beforeAutospacing="1" w:after="100" w:afterAutospacing="1" w:line="240" w:lineRule="auto"/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</w:pPr>
                  <w:r w:rsidRPr="00DF177C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>Nevytvárajú sa lepkavé zvyšky na obrábacom stroji a obrobku</w:t>
                  </w:r>
                </w:p>
              </w:tc>
            </w:tr>
            <w:tr w:rsidR="00DF177C" w:rsidRPr="00DF177C" w:rsidTr="00DF177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F177C" w:rsidRPr="00DF177C" w:rsidRDefault="00DF177C" w:rsidP="00DF177C">
                  <w:pPr>
                    <w:spacing w:before="0" w:after="0" w:line="240" w:lineRule="auto"/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</w:pPr>
                  <w:r w:rsidRPr="00DF177C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>Vynikajúca filtrovateľnosť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F177C" w:rsidRPr="00DF177C" w:rsidRDefault="00DF177C" w:rsidP="00DF177C">
                  <w:pPr>
                    <w:numPr>
                      <w:ilvl w:val="0"/>
                      <w:numId w:val="21"/>
                    </w:numPr>
                    <w:spacing w:before="100" w:beforeAutospacing="1" w:after="100" w:afterAutospacing="1" w:line="240" w:lineRule="auto"/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</w:pPr>
                  <w:r w:rsidRPr="00DF177C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>Nižšie náklady na údržbu a dopad na životné prostredie</w:t>
                  </w:r>
                </w:p>
              </w:tc>
            </w:tr>
            <w:tr w:rsidR="00DF177C" w:rsidRPr="00DF177C" w:rsidTr="00DF177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F177C" w:rsidRPr="00DF177C" w:rsidRDefault="00DF177C" w:rsidP="00DF177C">
                  <w:pPr>
                    <w:spacing w:before="0" w:after="0" w:line="240" w:lineRule="auto"/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</w:pPr>
                  <w:r w:rsidRPr="00DF177C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>Mierny zápach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F177C" w:rsidRPr="00DF177C" w:rsidRDefault="00DF177C" w:rsidP="00DF177C">
                  <w:pPr>
                    <w:numPr>
                      <w:ilvl w:val="0"/>
                      <w:numId w:val="22"/>
                    </w:numPr>
                    <w:spacing w:before="100" w:beforeAutospacing="1" w:after="100" w:afterAutospacing="1" w:line="240" w:lineRule="auto"/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</w:pPr>
                  <w:r w:rsidRPr="00DF177C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>Príjemnejšie pracovné prostredie</w:t>
                  </w:r>
                </w:p>
              </w:tc>
            </w:tr>
            <w:tr w:rsidR="00DF177C" w:rsidRPr="00DF177C" w:rsidTr="00DF177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F177C" w:rsidRPr="00DF177C" w:rsidRDefault="00DF177C" w:rsidP="00DF177C">
                  <w:pPr>
                    <w:spacing w:before="0" w:after="0" w:line="240" w:lineRule="auto"/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</w:pPr>
                  <w:r w:rsidRPr="00DF177C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 xml:space="preserve">Neobsahuje bór, </w:t>
                  </w:r>
                  <w:proofErr w:type="spellStart"/>
                  <w:r w:rsidRPr="00DF177C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>dusitany</w:t>
                  </w:r>
                  <w:proofErr w:type="spellEnd"/>
                  <w:r w:rsidRPr="00DF177C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 xml:space="preserve"> a sekundárne </w:t>
                  </w:r>
                  <w:proofErr w:type="spellStart"/>
                  <w:r w:rsidRPr="00DF177C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>amíny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DF177C" w:rsidRPr="00DF177C" w:rsidRDefault="00DF177C" w:rsidP="00DF177C">
                  <w:pPr>
                    <w:numPr>
                      <w:ilvl w:val="0"/>
                      <w:numId w:val="23"/>
                    </w:numPr>
                    <w:spacing w:before="100" w:beforeAutospacing="1" w:after="100" w:afterAutospacing="1" w:line="240" w:lineRule="auto"/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</w:pPr>
                  <w:r w:rsidRPr="00DF177C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>Výhodné z hľadiska požiadaviek na ochranu zdravia na pracovisku</w:t>
                  </w:r>
                </w:p>
              </w:tc>
            </w:tr>
          </w:tbl>
          <w:p w:rsidR="00DF177C" w:rsidRPr="006A4148" w:rsidRDefault="00DF177C" w:rsidP="00693AD7">
            <w:pPr>
              <w:pStyle w:val="Defaul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  <w:tbl>
            <w:tblPr>
              <w:tblW w:w="71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773"/>
              <w:gridCol w:w="3406"/>
            </w:tblGrid>
            <w:tr w:rsidR="00FC1CBD" w:rsidRPr="000B486B" w:rsidTr="00FC1CBD">
              <w:trPr>
                <w:trHeight w:val="127"/>
              </w:trPr>
              <w:tc>
                <w:tcPr>
                  <w:tcW w:w="3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1CBD" w:rsidRPr="000B486B" w:rsidRDefault="00FC1CBD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color w:val="365F91" w:themeColor="accent1" w:themeShade="BF"/>
                      <w:sz w:val="18"/>
                      <w:szCs w:val="18"/>
                    </w:rPr>
                  </w:pPr>
                  <w:r w:rsidRPr="000B486B">
                    <w:rPr>
                      <w:rFonts w:ascii="Arial Unicode MS" w:eastAsia="Arial Unicode MS" w:hAnsi="Arial Unicode MS" w:cs="Arial Unicode MS"/>
                      <w:color w:val="365F91" w:themeColor="accent1" w:themeShade="BF"/>
                      <w:sz w:val="18"/>
                      <w:szCs w:val="18"/>
                    </w:rPr>
                    <w:t>Vlastnosti</w:t>
                  </w:r>
                </w:p>
              </w:tc>
              <w:tc>
                <w:tcPr>
                  <w:tcW w:w="3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1CBD" w:rsidRPr="000B486B" w:rsidRDefault="00FC1CBD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color w:val="365F91" w:themeColor="accent1" w:themeShade="BF"/>
                      <w:sz w:val="18"/>
                      <w:szCs w:val="18"/>
                    </w:rPr>
                  </w:pPr>
                  <w:r w:rsidRPr="000B486B">
                    <w:rPr>
                      <w:rFonts w:ascii="Arial Unicode MS" w:eastAsia="Arial Unicode MS" w:hAnsi="Arial Unicode MS" w:cs="Arial Unicode MS"/>
                      <w:color w:val="365F91" w:themeColor="accent1" w:themeShade="BF"/>
                      <w:sz w:val="18"/>
                      <w:szCs w:val="18"/>
                    </w:rPr>
                    <w:t>Typické hodnoty</w:t>
                  </w:r>
                </w:p>
              </w:tc>
            </w:tr>
            <w:tr w:rsidR="001F7B72" w:rsidRPr="000B486B" w:rsidTr="00F3792C">
              <w:trPr>
                <w:trHeight w:val="127"/>
              </w:trPr>
              <w:tc>
                <w:tcPr>
                  <w:tcW w:w="3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B72" w:rsidRPr="000B486B" w:rsidRDefault="001F7B72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color w:val="auto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 Unicode MS" w:eastAsia="Arial Unicode MS" w:hAnsi="Arial Unicode MS" w:cs="Arial Unicode MS"/>
                      <w:color w:val="auto"/>
                      <w:sz w:val="18"/>
                      <w:szCs w:val="18"/>
                      <w:lang w:eastAsia="en-US"/>
                    </w:rPr>
                    <w:t>Vzhľad</w:t>
                  </w:r>
                </w:p>
              </w:tc>
              <w:tc>
                <w:tcPr>
                  <w:tcW w:w="3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B72" w:rsidRDefault="004765EA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hnedý</w:t>
                  </w:r>
                  <w:r w:rsidR="001F7B72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,</w:t>
                  </w:r>
                  <w:r w:rsidR="00DF177C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 xml:space="preserve"> číry</w:t>
                  </w:r>
                </w:p>
              </w:tc>
            </w:tr>
            <w:tr w:rsidR="00FC1CBD" w:rsidRPr="000B486B" w:rsidTr="00F3792C">
              <w:trPr>
                <w:trHeight w:val="127"/>
              </w:trPr>
              <w:tc>
                <w:tcPr>
                  <w:tcW w:w="3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1CBD" w:rsidRPr="00341E7D" w:rsidRDefault="001661FE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341E7D">
                    <w:rPr>
                      <w:rFonts w:ascii="Arial Unicode MS" w:eastAsia="Arial Unicode MS" w:hAnsi="Arial Unicode MS" w:cs="Arial Unicode MS"/>
                      <w:color w:val="auto"/>
                      <w:sz w:val="18"/>
                      <w:szCs w:val="18"/>
                      <w:lang w:eastAsia="en-US"/>
                    </w:rPr>
                    <w:t>Merná hmotnosť pri 15 °C [g/cm3]</w:t>
                  </w:r>
                </w:p>
              </w:tc>
              <w:tc>
                <w:tcPr>
                  <w:tcW w:w="3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341E7D" w:rsidRDefault="001F7B72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341E7D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0,8</w:t>
                  </w:r>
                  <w:r w:rsidR="00DF177C" w:rsidRPr="00341E7D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75</w:t>
                  </w:r>
                </w:p>
              </w:tc>
            </w:tr>
            <w:tr w:rsidR="00FC1CBD" w:rsidRPr="000B486B" w:rsidTr="00F3792C">
              <w:trPr>
                <w:trHeight w:val="127"/>
              </w:trPr>
              <w:tc>
                <w:tcPr>
                  <w:tcW w:w="3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341E7D" w:rsidRDefault="00DF177C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341E7D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 xml:space="preserve">Hodnota pH emulzie (5% </w:t>
                  </w:r>
                  <w:proofErr w:type="spellStart"/>
                  <w:r w:rsidRPr="00341E7D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obj</w:t>
                  </w:r>
                  <w:proofErr w:type="spellEnd"/>
                  <w:r w:rsidRPr="00341E7D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. vo vode tvrdosti 20 °N)</w:t>
                  </w:r>
                </w:p>
              </w:tc>
              <w:tc>
                <w:tcPr>
                  <w:tcW w:w="3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341E7D" w:rsidRDefault="00F47572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341E7D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 xml:space="preserve">9,4 </w:t>
                  </w:r>
                </w:p>
              </w:tc>
            </w:tr>
            <w:tr w:rsidR="00FC1CBD" w:rsidRPr="000B486B" w:rsidTr="00F3792C">
              <w:trPr>
                <w:trHeight w:val="109"/>
              </w:trPr>
              <w:tc>
                <w:tcPr>
                  <w:tcW w:w="3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341E7D" w:rsidRDefault="00F47572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341E7D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 xml:space="preserve">Penivosť emulzie (5% </w:t>
                  </w:r>
                  <w:proofErr w:type="spellStart"/>
                  <w:r w:rsidRPr="00341E7D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obj</w:t>
                  </w:r>
                  <w:proofErr w:type="spellEnd"/>
                  <w:r w:rsidRPr="00341E7D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. vo vode tvrdosti 20 °N</w:t>
                  </w:r>
                </w:p>
              </w:tc>
              <w:tc>
                <w:tcPr>
                  <w:tcW w:w="3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341E7D" w:rsidRDefault="00F47572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341E7D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25 –okamžitá hodnota peny</w:t>
                  </w:r>
                </w:p>
              </w:tc>
            </w:tr>
            <w:tr w:rsidR="00FC1CBD" w:rsidRPr="000B486B" w:rsidTr="00F3792C">
              <w:trPr>
                <w:trHeight w:val="109"/>
              </w:trPr>
              <w:tc>
                <w:tcPr>
                  <w:tcW w:w="3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341E7D" w:rsidRDefault="00341E7D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341E7D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 xml:space="preserve">Protikorózny účinok - test na </w:t>
                  </w:r>
                  <w:proofErr w:type="spellStart"/>
                  <w:r w:rsidRPr="00341E7D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filtr</w:t>
                  </w:r>
                  <w:proofErr w:type="spellEnd"/>
                  <w:r w:rsidRPr="00341E7D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 xml:space="preserve">. papieri (5% </w:t>
                  </w:r>
                  <w:proofErr w:type="spellStart"/>
                  <w:r w:rsidRPr="00341E7D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obj</w:t>
                  </w:r>
                  <w:proofErr w:type="spellEnd"/>
                  <w:r w:rsidRPr="00341E7D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./ voda 20 °N) [stupeň]</w:t>
                  </w:r>
                </w:p>
              </w:tc>
              <w:tc>
                <w:tcPr>
                  <w:tcW w:w="3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341E7D" w:rsidRDefault="00341E7D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341E7D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1</w:t>
                  </w:r>
                </w:p>
              </w:tc>
            </w:tr>
            <w:tr w:rsidR="00FC1CBD" w:rsidRPr="000B486B" w:rsidTr="00F3792C">
              <w:trPr>
                <w:trHeight w:val="109"/>
              </w:trPr>
              <w:tc>
                <w:tcPr>
                  <w:tcW w:w="3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341E7D" w:rsidRDefault="00341E7D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341E7D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 xml:space="preserve">Protikorózny účinok (5% </w:t>
                  </w:r>
                  <w:proofErr w:type="spellStart"/>
                  <w:r w:rsidRPr="00341E7D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obj</w:t>
                  </w:r>
                  <w:proofErr w:type="spellEnd"/>
                  <w:r w:rsidRPr="00341E7D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. vo vode tvrdosti 12 °N</w:t>
                  </w:r>
                </w:p>
              </w:tc>
              <w:tc>
                <w:tcPr>
                  <w:tcW w:w="3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341E7D" w:rsidRDefault="00341E7D" w:rsidP="008C0706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341E7D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 xml:space="preserve">Negatívny - meď (5 % </w:t>
                  </w:r>
                  <w:proofErr w:type="spellStart"/>
                  <w:r w:rsidRPr="00341E7D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obj</w:t>
                  </w:r>
                  <w:proofErr w:type="spellEnd"/>
                  <w:r w:rsidRPr="00341E7D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. vo vode tvrdosti 12 °N</w:t>
                  </w:r>
                </w:p>
              </w:tc>
            </w:tr>
            <w:tr w:rsidR="00341E7D" w:rsidRPr="000B486B" w:rsidTr="00F3792C">
              <w:trPr>
                <w:trHeight w:val="109"/>
              </w:trPr>
              <w:tc>
                <w:tcPr>
                  <w:tcW w:w="3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1E7D" w:rsidRPr="00341E7D" w:rsidRDefault="00341E7D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341E7D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 xml:space="preserve">Vzhľad emulzie (5% </w:t>
                  </w:r>
                  <w:proofErr w:type="spellStart"/>
                  <w:r w:rsidRPr="00341E7D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obj.vo</w:t>
                  </w:r>
                  <w:proofErr w:type="spellEnd"/>
                  <w:r w:rsidRPr="00341E7D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 xml:space="preserve"> vode tvrdosti 20 °N)</w:t>
                  </w:r>
                </w:p>
              </w:tc>
              <w:tc>
                <w:tcPr>
                  <w:tcW w:w="3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1E7D" w:rsidRPr="00341E7D" w:rsidRDefault="00341E7D" w:rsidP="008C0706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341E7D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Biely, mliečny</w:t>
                  </w:r>
                </w:p>
              </w:tc>
            </w:tr>
          </w:tbl>
          <w:p w:rsidR="002179B6" w:rsidRPr="00895E92" w:rsidRDefault="001661FE" w:rsidP="00895E92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</w:pPr>
            <w:r w:rsidRPr="000B486B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Vlastnosti v tabuľke sú typické hodnoty produktu a nepredstavujú špecifikáciu.</w:t>
            </w:r>
          </w:p>
        </w:tc>
      </w:tr>
      <w:tr w:rsidR="002179B6" w:rsidTr="00DF177C">
        <w:tc>
          <w:tcPr>
            <w:tcW w:w="1582" w:type="dxa"/>
            <w:tcBorders>
              <w:top w:val="single" w:sz="4" w:space="0" w:color="4F81BD" w:themeColor="accent1"/>
              <w:bottom w:val="single" w:sz="4" w:space="0" w:color="auto"/>
            </w:tcBorders>
          </w:tcPr>
          <w:p w:rsidR="002179B6" w:rsidRPr="00BC7CE9" w:rsidRDefault="00327E21" w:rsidP="00693AD7">
            <w:pPr>
              <w:pStyle w:val="Nadpis1"/>
              <w:spacing w:line="312" w:lineRule="auto"/>
              <w:jc w:val="left"/>
              <w:outlineLvl w:val="0"/>
              <w:rPr>
                <w:b/>
              </w:rPr>
            </w:pPr>
            <w:r>
              <w:rPr>
                <w:b/>
              </w:rPr>
              <w:lastRenderedPageBreak/>
              <w:t>Špecifikácie   a  súhlasy</w:t>
            </w:r>
          </w:p>
        </w:tc>
        <w:tc>
          <w:tcPr>
            <w:tcW w:w="27" w:type="dxa"/>
            <w:tcBorders>
              <w:top w:val="single" w:sz="4" w:space="0" w:color="4F81BD" w:themeColor="accent1"/>
              <w:bottom w:val="single" w:sz="4" w:space="0" w:color="auto"/>
            </w:tcBorders>
          </w:tcPr>
          <w:p w:rsidR="002179B6" w:rsidRDefault="002179B6" w:rsidP="00693AD7">
            <w:pPr>
              <w:spacing w:line="312" w:lineRule="auto"/>
            </w:pPr>
          </w:p>
        </w:tc>
        <w:tc>
          <w:tcPr>
            <w:tcW w:w="7463" w:type="dxa"/>
            <w:tcBorders>
              <w:top w:val="single" w:sz="4" w:space="0" w:color="4F81BD" w:themeColor="accent1"/>
              <w:bottom w:val="single" w:sz="4" w:space="0" w:color="auto"/>
            </w:tcBorders>
          </w:tcPr>
          <w:p w:rsidR="000B486B" w:rsidRPr="000141CB" w:rsidRDefault="000141CB" w:rsidP="008C0706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EM</w:t>
            </w:r>
            <w:r w:rsidRPr="000141CB">
              <w:rPr>
                <w:rFonts w:ascii="Arial Unicode MS" w:eastAsia="Arial Unicode MS" w:hAnsi="Arial Unicode MS" w:cs="Arial Unicode MS"/>
                <w:sz w:val="18"/>
                <w:szCs w:val="18"/>
              </w:rPr>
              <w:t>AG</w:t>
            </w:r>
            <w:r w:rsidRPr="000141CB">
              <w:rPr>
                <w:rFonts w:ascii="Arial Unicode MS" w:eastAsia="Arial Unicode MS" w:hAnsi="Arial Unicode MS" w:cs="Arial Unicode MS"/>
                <w:sz w:val="18"/>
                <w:szCs w:val="18"/>
              </w:rPr>
              <w:br/>
            </w:r>
            <w:r w:rsidR="004765EA">
              <w:rPr>
                <w:rFonts w:ascii="Arial Unicode MS" w:eastAsia="Arial Unicode MS" w:hAnsi="Arial Unicode MS" w:cs="Arial Unicode MS"/>
                <w:sz w:val="18"/>
                <w:szCs w:val="18"/>
              </w:rPr>
              <w:t>ISO 6743-7:</w:t>
            </w:r>
            <w:r w:rsidR="00341E7D">
              <w:rPr>
                <w:rFonts w:ascii="Arial Unicode MS" w:eastAsia="Arial Unicode MS" w:hAnsi="Arial Unicode MS" w:cs="Arial Unicode MS"/>
                <w:sz w:val="18"/>
                <w:szCs w:val="18"/>
              </w:rPr>
              <w:t>: L-MAA</w:t>
            </w:r>
          </w:p>
        </w:tc>
      </w:tr>
      <w:tr w:rsidR="002179B6" w:rsidTr="00DF177C">
        <w:trPr>
          <w:trHeight w:val="2645"/>
        </w:trPr>
        <w:tc>
          <w:tcPr>
            <w:tcW w:w="1582" w:type="dxa"/>
            <w:tcBorders>
              <w:top w:val="single" w:sz="4" w:space="0" w:color="auto"/>
              <w:bottom w:val="nil"/>
            </w:tcBorders>
          </w:tcPr>
          <w:p w:rsidR="002179B6" w:rsidRPr="00BC7CE9" w:rsidRDefault="002179B6" w:rsidP="00693AD7">
            <w:pPr>
              <w:pStyle w:val="Nadpis1"/>
              <w:spacing w:line="312" w:lineRule="auto"/>
              <w:jc w:val="left"/>
              <w:outlineLvl w:val="0"/>
              <w:rPr>
                <w:b/>
                <w:lang w:bidi="sk-SK"/>
              </w:rPr>
            </w:pPr>
            <w:r w:rsidRPr="00BC7CE9">
              <w:rPr>
                <w:b/>
                <w:lang w:bidi="sk-SK"/>
              </w:rPr>
              <w:t xml:space="preserve">Pokyny pre manipuláciu </w:t>
            </w:r>
            <w:r w:rsidR="00327E21">
              <w:rPr>
                <w:b/>
                <w:lang w:bidi="sk-SK"/>
              </w:rPr>
              <w:t xml:space="preserve"> </w:t>
            </w:r>
            <w:r w:rsidRPr="00BC7CE9">
              <w:rPr>
                <w:b/>
                <w:lang w:bidi="sk-SK"/>
              </w:rPr>
              <w:t>a skladovanie</w:t>
            </w:r>
          </w:p>
        </w:tc>
        <w:tc>
          <w:tcPr>
            <w:tcW w:w="27" w:type="dxa"/>
            <w:tcBorders>
              <w:top w:val="single" w:sz="4" w:space="0" w:color="auto"/>
              <w:bottom w:val="nil"/>
            </w:tcBorders>
          </w:tcPr>
          <w:p w:rsidR="002179B6" w:rsidRDefault="002179B6" w:rsidP="00693AD7">
            <w:pPr>
              <w:spacing w:line="312" w:lineRule="auto"/>
            </w:pPr>
          </w:p>
        </w:tc>
        <w:tc>
          <w:tcPr>
            <w:tcW w:w="7463" w:type="dxa"/>
            <w:tcBorders>
              <w:top w:val="single" w:sz="4" w:space="0" w:color="auto"/>
              <w:bottom w:val="nil"/>
            </w:tcBorders>
          </w:tcPr>
          <w:p w:rsidR="0012103F" w:rsidRPr="00524148" w:rsidRDefault="0012103F" w:rsidP="0012103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</w:pPr>
            <w:r w:rsidRPr="00524148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 xml:space="preserve">Skladujte v uzavretých originálnych obaloch na suchých miestach </w:t>
            </w:r>
          </w:p>
          <w:p w:rsidR="0012103F" w:rsidRPr="00524148" w:rsidRDefault="0012103F" w:rsidP="0012103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</w:pPr>
            <w:r w:rsidRPr="00524148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Neskladovať v blízkosti výhrevných telies.</w:t>
            </w:r>
          </w:p>
          <w:p w:rsidR="0012103F" w:rsidRPr="00524148" w:rsidRDefault="0012103F" w:rsidP="0012103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</w:pPr>
            <w:r w:rsidRPr="00524148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Počas prepravy, skladovania a používania výrobku dodržiavajte zásady bezpečnosti práce a ekologické pravidlá vzťahujúce sa k ropným výrobkom.</w:t>
            </w:r>
          </w:p>
          <w:p w:rsidR="0012103F" w:rsidRPr="00524148" w:rsidRDefault="0012103F" w:rsidP="0012103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</w:pPr>
            <w:r w:rsidRPr="00524148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Pre bližšie informácie si vyžiadajte Kartu bezpečnostných údajov produktu.</w:t>
            </w:r>
          </w:p>
          <w:p w:rsidR="0012103F" w:rsidRPr="00524148" w:rsidRDefault="0012103F" w:rsidP="0012103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</w:pPr>
            <w:r w:rsidRPr="00524148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 xml:space="preserve">Motorové oleje sú plne formulované výrobky, dodatočná </w:t>
            </w:r>
            <w:proofErr w:type="spellStart"/>
            <w:r w:rsidRPr="00524148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aditivácia</w:t>
            </w:r>
            <w:proofErr w:type="spellEnd"/>
            <w:r w:rsidRPr="00524148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 xml:space="preserve"> je nežiaduca a môže spôsobiť nepredvídané škody. V takomto prípade výrobca ani predajca nenesú zodpovednosť.</w:t>
            </w:r>
          </w:p>
          <w:p w:rsidR="0012103F" w:rsidRPr="00524148" w:rsidRDefault="0012103F" w:rsidP="0012103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</w:pPr>
            <w:r w:rsidRPr="00524148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V pôvodnom balení pri dodržaní skladovacích podmienok: 60 mesiacov</w:t>
            </w:r>
          </w:p>
          <w:p w:rsidR="0012103F" w:rsidRPr="00524148" w:rsidRDefault="0012103F" w:rsidP="0012103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</w:pPr>
            <w:r w:rsidRPr="00524148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Horľavá kvapalina: IV. triedy nebezpečnosti.</w:t>
            </w:r>
          </w:p>
          <w:p w:rsidR="002179B6" w:rsidRPr="00F310F3" w:rsidRDefault="0012103F" w:rsidP="0012103F">
            <w:pPr>
              <w:rPr>
                <w:rFonts w:ascii="Arial" w:hAnsi="Arial" w:cs="Arial"/>
              </w:rPr>
            </w:pPr>
            <w:r w:rsidRPr="00524148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Odporúčaná teplota skladovania: max. 40°C</w:t>
            </w:r>
          </w:p>
        </w:tc>
      </w:tr>
    </w:tbl>
    <w:p w:rsidR="006D7EAB" w:rsidRDefault="006D7EAB" w:rsidP="00895E92"/>
    <w:sectPr w:rsidR="006D7EAB" w:rsidSect="006D7EAB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F01" w:rsidRDefault="00333F01" w:rsidP="002179B6">
      <w:pPr>
        <w:spacing w:before="0" w:after="0" w:line="240" w:lineRule="auto"/>
      </w:pPr>
      <w:r>
        <w:separator/>
      </w:r>
    </w:p>
  </w:endnote>
  <w:endnote w:type="continuationSeparator" w:id="0">
    <w:p w:rsidR="00333F01" w:rsidRDefault="00333F01" w:rsidP="002179B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3162404"/>
      <w:docPartObj>
        <w:docPartGallery w:val="Page Numbers (Bottom of Page)"/>
        <w:docPartUnique/>
      </w:docPartObj>
    </w:sdtPr>
    <w:sdtEndPr/>
    <w:sdtContent>
      <w:p w:rsidR="00524148" w:rsidRDefault="00524148">
        <w:pPr>
          <w:pStyle w:val="Pta"/>
        </w:pPr>
        <w:r>
          <w:t xml:space="preserve">AUTEX s.r.o., Kragujevská 3679/22C, 010 01 Žilina, IČO: 36389714, Mobil: 0903 735 214, E-mail: </w:t>
        </w:r>
        <w:hyperlink r:id="rId1" w:history="1">
          <w:r w:rsidRPr="00E13C00">
            <w:rPr>
              <w:rStyle w:val="Hypertextovprepojenie"/>
            </w:rPr>
            <w:t>autexhaj@autexsro.sk</w:t>
          </w:r>
        </w:hyperlink>
        <w:r>
          <w:t xml:space="preserve">, Prevádzka: Háj 207, 039 01 Turčianske Teplice, </w:t>
        </w:r>
        <w:hyperlink r:id="rId2" w:history="1">
          <w:r w:rsidRPr="0059187A">
            <w:rPr>
              <w:rStyle w:val="Hypertextovprepojenie"/>
            </w:rPr>
            <w:t>www.oleje-autex.sk</w:t>
          </w:r>
        </w:hyperlink>
      </w:p>
      <w:p w:rsidR="00524148" w:rsidRDefault="00524148">
        <w:pPr>
          <w:pStyle w:val="Pta"/>
        </w:pPr>
        <w:r>
          <w:t xml:space="preserve">                                          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12527B">
          <w:rPr>
            <w:noProof/>
          </w:rPr>
          <w:t>3</w:t>
        </w:r>
        <w:r>
          <w:fldChar w:fldCharType="end"/>
        </w:r>
        <w:r w:rsidR="00341E7D">
          <w:t>/3</w:t>
        </w:r>
      </w:p>
    </w:sdtContent>
  </w:sdt>
  <w:p w:rsidR="002179B6" w:rsidRDefault="002179B6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F01" w:rsidRDefault="00333F01" w:rsidP="002179B6">
      <w:pPr>
        <w:spacing w:before="0" w:after="0" w:line="240" w:lineRule="auto"/>
      </w:pPr>
      <w:r>
        <w:separator/>
      </w:r>
    </w:p>
  </w:footnote>
  <w:footnote w:type="continuationSeparator" w:id="0">
    <w:p w:rsidR="00333F01" w:rsidRDefault="00333F01" w:rsidP="002179B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9B6" w:rsidRDefault="002179B6" w:rsidP="002179B6"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rPr>
        <w:rFonts w:ascii="Arial" w:hAnsi="Arial" w:cs="Arial"/>
        <w:b/>
        <w:bCs/>
        <w:color w:val="365F91" w:themeColor="accent1" w:themeShade="BF"/>
        <w:sz w:val="28"/>
        <w:szCs w:val="28"/>
      </w:rPr>
    </w:pPr>
    <w:r>
      <w:rPr>
        <w:b/>
        <w:noProof/>
        <w:sz w:val="28"/>
        <w:szCs w:val="28"/>
        <w:lang w:eastAsia="sk-SK"/>
      </w:rPr>
      <w:drawing>
        <wp:inline distT="0" distB="0" distL="0" distR="0">
          <wp:extent cx="1276350" cy="361950"/>
          <wp:effectExtent l="0" t="0" r="0" b="0"/>
          <wp:docPr id="1" name="Obrázok 1" descr="LOGO Aute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Aute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bCs/>
        <w:color w:val="000000"/>
        <w:sz w:val="28"/>
        <w:szCs w:val="28"/>
      </w:rPr>
      <w:t xml:space="preserve">           </w:t>
    </w:r>
    <w:r>
      <w:rPr>
        <w:rFonts w:ascii="Arial" w:hAnsi="Arial" w:cs="Arial"/>
        <w:b/>
        <w:bCs/>
        <w:color w:val="365F91" w:themeColor="accent1" w:themeShade="BF"/>
        <w:sz w:val="28"/>
        <w:szCs w:val="28"/>
      </w:rPr>
      <w:t>TECHNICKO INFORMAČNÝ LIST</w:t>
    </w:r>
  </w:p>
  <w:p w:rsidR="002179B6" w:rsidRDefault="002179B6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710B5"/>
    <w:multiLevelType w:val="multilevel"/>
    <w:tmpl w:val="22E06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D43AC3"/>
    <w:multiLevelType w:val="multilevel"/>
    <w:tmpl w:val="19C4C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5A21C8"/>
    <w:multiLevelType w:val="multilevel"/>
    <w:tmpl w:val="53020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D93FEB"/>
    <w:multiLevelType w:val="multilevel"/>
    <w:tmpl w:val="C8E8E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48184B"/>
    <w:multiLevelType w:val="multilevel"/>
    <w:tmpl w:val="46E2C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0A13D2"/>
    <w:multiLevelType w:val="multilevel"/>
    <w:tmpl w:val="4538D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E610E5"/>
    <w:multiLevelType w:val="multilevel"/>
    <w:tmpl w:val="B87CF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417778"/>
    <w:multiLevelType w:val="multilevel"/>
    <w:tmpl w:val="0324C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5D44839"/>
    <w:multiLevelType w:val="multilevel"/>
    <w:tmpl w:val="CBE0D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8914A8C"/>
    <w:multiLevelType w:val="multilevel"/>
    <w:tmpl w:val="34F86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E935C06"/>
    <w:multiLevelType w:val="multilevel"/>
    <w:tmpl w:val="3BA0C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05B31EE"/>
    <w:multiLevelType w:val="multilevel"/>
    <w:tmpl w:val="5082D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37B0508"/>
    <w:multiLevelType w:val="multilevel"/>
    <w:tmpl w:val="7E120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42E5E2F"/>
    <w:multiLevelType w:val="multilevel"/>
    <w:tmpl w:val="0AD84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4F65950"/>
    <w:multiLevelType w:val="multilevel"/>
    <w:tmpl w:val="5C162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B442A5B"/>
    <w:multiLevelType w:val="multilevel"/>
    <w:tmpl w:val="53927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D8A620D"/>
    <w:multiLevelType w:val="multilevel"/>
    <w:tmpl w:val="B4B41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7D14741"/>
    <w:multiLevelType w:val="multilevel"/>
    <w:tmpl w:val="96909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A92657C"/>
    <w:multiLevelType w:val="multilevel"/>
    <w:tmpl w:val="05ECA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B4D7306"/>
    <w:multiLevelType w:val="multilevel"/>
    <w:tmpl w:val="E6E47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2EE21AA"/>
    <w:multiLevelType w:val="multilevel"/>
    <w:tmpl w:val="7A941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3796A5C"/>
    <w:multiLevelType w:val="multilevel"/>
    <w:tmpl w:val="0FE62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7A4181C"/>
    <w:multiLevelType w:val="multilevel"/>
    <w:tmpl w:val="56205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12"/>
  </w:num>
  <w:num w:numId="3">
    <w:abstractNumId w:val="2"/>
  </w:num>
  <w:num w:numId="4">
    <w:abstractNumId w:val="3"/>
  </w:num>
  <w:num w:numId="5">
    <w:abstractNumId w:val="10"/>
  </w:num>
  <w:num w:numId="6">
    <w:abstractNumId w:val="22"/>
  </w:num>
  <w:num w:numId="7">
    <w:abstractNumId w:val="11"/>
  </w:num>
  <w:num w:numId="8">
    <w:abstractNumId w:val="14"/>
  </w:num>
  <w:num w:numId="9">
    <w:abstractNumId w:val="13"/>
  </w:num>
  <w:num w:numId="10">
    <w:abstractNumId w:val="16"/>
  </w:num>
  <w:num w:numId="11">
    <w:abstractNumId w:val="18"/>
  </w:num>
  <w:num w:numId="12">
    <w:abstractNumId w:val="5"/>
  </w:num>
  <w:num w:numId="13">
    <w:abstractNumId w:val="19"/>
  </w:num>
  <w:num w:numId="14">
    <w:abstractNumId w:val="7"/>
  </w:num>
  <w:num w:numId="15">
    <w:abstractNumId w:val="8"/>
  </w:num>
  <w:num w:numId="16">
    <w:abstractNumId w:val="20"/>
  </w:num>
  <w:num w:numId="17">
    <w:abstractNumId w:val="0"/>
  </w:num>
  <w:num w:numId="18">
    <w:abstractNumId w:val="17"/>
  </w:num>
  <w:num w:numId="19">
    <w:abstractNumId w:val="1"/>
  </w:num>
  <w:num w:numId="20">
    <w:abstractNumId w:val="4"/>
  </w:num>
  <w:num w:numId="21">
    <w:abstractNumId w:val="9"/>
  </w:num>
  <w:num w:numId="22">
    <w:abstractNumId w:val="15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9B6"/>
    <w:rsid w:val="000141CB"/>
    <w:rsid w:val="00040609"/>
    <w:rsid w:val="000B486B"/>
    <w:rsid w:val="000B6D1F"/>
    <w:rsid w:val="000E404C"/>
    <w:rsid w:val="0012103F"/>
    <w:rsid w:val="0012527B"/>
    <w:rsid w:val="001661FE"/>
    <w:rsid w:val="00192B63"/>
    <w:rsid w:val="001F7B72"/>
    <w:rsid w:val="002179B6"/>
    <w:rsid w:val="002E7F35"/>
    <w:rsid w:val="00306C22"/>
    <w:rsid w:val="00327E21"/>
    <w:rsid w:val="00333F01"/>
    <w:rsid w:val="00341E7D"/>
    <w:rsid w:val="0037196C"/>
    <w:rsid w:val="003765F3"/>
    <w:rsid w:val="00383F08"/>
    <w:rsid w:val="0040252C"/>
    <w:rsid w:val="004326F1"/>
    <w:rsid w:val="004765EA"/>
    <w:rsid w:val="00524148"/>
    <w:rsid w:val="00546A6A"/>
    <w:rsid w:val="00581E39"/>
    <w:rsid w:val="005C7B6C"/>
    <w:rsid w:val="005D51B6"/>
    <w:rsid w:val="005F3127"/>
    <w:rsid w:val="005F5BFE"/>
    <w:rsid w:val="006148EA"/>
    <w:rsid w:val="006559EA"/>
    <w:rsid w:val="006A4148"/>
    <w:rsid w:val="006D2A12"/>
    <w:rsid w:val="006D7EAB"/>
    <w:rsid w:val="007375B5"/>
    <w:rsid w:val="00784C94"/>
    <w:rsid w:val="00832ABD"/>
    <w:rsid w:val="00895E92"/>
    <w:rsid w:val="008C0706"/>
    <w:rsid w:val="00964E51"/>
    <w:rsid w:val="00986B26"/>
    <w:rsid w:val="009D46AA"/>
    <w:rsid w:val="00A35AE2"/>
    <w:rsid w:val="00A35B17"/>
    <w:rsid w:val="00A72277"/>
    <w:rsid w:val="00B24BA1"/>
    <w:rsid w:val="00B518F4"/>
    <w:rsid w:val="00B613E9"/>
    <w:rsid w:val="00BA0B2B"/>
    <w:rsid w:val="00BD2AC0"/>
    <w:rsid w:val="00C726F3"/>
    <w:rsid w:val="00D031CB"/>
    <w:rsid w:val="00D20D11"/>
    <w:rsid w:val="00D228C4"/>
    <w:rsid w:val="00DB6E12"/>
    <w:rsid w:val="00DD0901"/>
    <w:rsid w:val="00DF177C"/>
    <w:rsid w:val="00E5386F"/>
    <w:rsid w:val="00E71298"/>
    <w:rsid w:val="00ED3FCB"/>
    <w:rsid w:val="00F3792C"/>
    <w:rsid w:val="00F47572"/>
    <w:rsid w:val="00F751F3"/>
    <w:rsid w:val="00F836BF"/>
    <w:rsid w:val="00FB6A34"/>
    <w:rsid w:val="00FC1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179B6"/>
    <w:pPr>
      <w:spacing w:before="40" w:after="160" w:line="288" w:lineRule="auto"/>
    </w:pPr>
    <w:rPr>
      <w:rFonts w:eastAsiaTheme="minorEastAsia"/>
      <w:color w:val="595959" w:themeColor="text1" w:themeTint="A6"/>
      <w:kern w:val="20"/>
      <w:sz w:val="20"/>
      <w:szCs w:val="20"/>
      <w:lang w:eastAsia="ja-JP"/>
    </w:rPr>
  </w:style>
  <w:style w:type="paragraph" w:styleId="Nadpis1">
    <w:name w:val="heading 1"/>
    <w:basedOn w:val="Normlny"/>
    <w:next w:val="Normlny"/>
    <w:link w:val="Nadpis1Char"/>
    <w:unhideWhenUsed/>
    <w:qFormat/>
    <w:rsid w:val="002179B6"/>
    <w:pPr>
      <w:jc w:val="right"/>
      <w:outlineLvl w:val="0"/>
    </w:pPr>
    <w:rPr>
      <w:rFonts w:asciiTheme="majorHAnsi" w:eastAsiaTheme="majorEastAsia" w:hAnsiTheme="majorHAnsi" w:cstheme="majorBidi"/>
      <w:caps/>
      <w:color w:val="4F81BD" w:themeColor="accent1"/>
      <w:sz w:val="21"/>
      <w:szCs w:val="21"/>
    </w:rPr>
  </w:style>
  <w:style w:type="paragraph" w:styleId="Nadpis2">
    <w:name w:val="heading 2"/>
    <w:basedOn w:val="Normlny"/>
    <w:next w:val="Normlny"/>
    <w:link w:val="Nadpis2Char"/>
    <w:unhideWhenUsed/>
    <w:qFormat/>
    <w:rsid w:val="002179B6"/>
    <w:pPr>
      <w:keepNext/>
      <w:keepLines/>
      <w:spacing w:after="40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2179B6"/>
    <w:rPr>
      <w:rFonts w:asciiTheme="majorHAnsi" w:eastAsiaTheme="majorEastAsia" w:hAnsiTheme="majorHAnsi" w:cstheme="majorBidi"/>
      <w:caps/>
      <w:color w:val="4F81BD" w:themeColor="accent1"/>
      <w:kern w:val="20"/>
      <w:sz w:val="21"/>
      <w:szCs w:val="21"/>
      <w:lang w:eastAsia="ja-JP"/>
    </w:rPr>
  </w:style>
  <w:style w:type="character" w:customStyle="1" w:styleId="Nadpis2Char">
    <w:name w:val="Nadpis 2 Char"/>
    <w:basedOn w:val="Predvolenpsmoodseku"/>
    <w:link w:val="Nadpis2"/>
    <w:rsid w:val="002179B6"/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ja-JP"/>
    </w:rPr>
  </w:style>
  <w:style w:type="paragraph" w:customStyle="1" w:styleId="Textivotopisu">
    <w:name w:val="Text životopisu"/>
    <w:basedOn w:val="Normlny"/>
    <w:qFormat/>
    <w:rsid w:val="002179B6"/>
    <w:pPr>
      <w:spacing w:after="40"/>
      <w:ind w:right="1440"/>
    </w:pPr>
  </w:style>
  <w:style w:type="table" w:customStyle="1" w:styleId="Tabukaivotopisu">
    <w:name w:val="Tabuľka životopisu"/>
    <w:basedOn w:val="Normlnatabuka"/>
    <w:uiPriority w:val="99"/>
    <w:rsid w:val="002179B6"/>
    <w:pPr>
      <w:spacing w:before="40" w:after="160" w:line="288" w:lineRule="auto"/>
    </w:pPr>
    <w:rPr>
      <w:rFonts w:eastAsiaTheme="minorEastAsia"/>
      <w:color w:val="595959" w:themeColor="text1" w:themeTint="A6"/>
      <w:sz w:val="20"/>
      <w:szCs w:val="20"/>
      <w:lang w:eastAsia="ja-JP"/>
    </w:rPr>
    <w:tblPr>
      <w:tblBorders>
        <w:insideH w:val="single" w:sz="4" w:space="0" w:color="4F81BD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paragraph" w:customStyle="1" w:styleId="Meno">
    <w:name w:val="Meno"/>
    <w:basedOn w:val="Normlny"/>
    <w:next w:val="Normlny"/>
    <w:qFormat/>
    <w:rsid w:val="002179B6"/>
    <w:pPr>
      <w:pBdr>
        <w:top w:val="single" w:sz="4" w:space="4" w:color="4F81BD" w:themeColor="accent1"/>
        <w:left w:val="single" w:sz="4" w:space="6" w:color="4F81BD" w:themeColor="accent1"/>
        <w:bottom w:val="single" w:sz="4" w:space="4" w:color="4F81BD" w:themeColor="accent1"/>
        <w:right w:val="single" w:sz="4" w:space="6" w:color="4F81BD" w:themeColor="accent1"/>
      </w:pBdr>
      <w:shd w:val="clear" w:color="auto" w:fill="4F81BD" w:themeFill="accent1"/>
      <w:spacing w:before="240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paragraph" w:customStyle="1" w:styleId="Default">
    <w:name w:val="Default"/>
    <w:rsid w:val="002179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179B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179B6"/>
    <w:rPr>
      <w:rFonts w:ascii="Tahoma" w:eastAsiaTheme="minorEastAsia" w:hAnsi="Tahoma" w:cs="Tahoma"/>
      <w:color w:val="595959" w:themeColor="text1" w:themeTint="A6"/>
      <w:kern w:val="20"/>
      <w:sz w:val="16"/>
      <w:szCs w:val="16"/>
      <w:lang w:eastAsia="ja-JP"/>
    </w:rPr>
  </w:style>
  <w:style w:type="character" w:styleId="Textzstupnhosymbolu">
    <w:name w:val="Placeholder Text"/>
    <w:basedOn w:val="Predvolenpsmoodseku"/>
    <w:uiPriority w:val="99"/>
    <w:semiHidden/>
    <w:rsid w:val="002179B6"/>
    <w:rPr>
      <w:color w:val="808080"/>
    </w:rPr>
  </w:style>
  <w:style w:type="paragraph" w:styleId="Hlavika">
    <w:name w:val="header"/>
    <w:basedOn w:val="Normlny"/>
    <w:link w:val="HlavikaChar"/>
    <w:uiPriority w:val="99"/>
    <w:unhideWhenUsed/>
    <w:rsid w:val="002179B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179B6"/>
    <w:rPr>
      <w:rFonts w:eastAsiaTheme="minorEastAsia"/>
      <w:color w:val="595959" w:themeColor="text1" w:themeTint="A6"/>
      <w:kern w:val="20"/>
      <w:sz w:val="20"/>
      <w:szCs w:val="20"/>
      <w:lang w:eastAsia="ja-JP"/>
    </w:rPr>
  </w:style>
  <w:style w:type="paragraph" w:styleId="Pta">
    <w:name w:val="footer"/>
    <w:basedOn w:val="Normlny"/>
    <w:link w:val="PtaChar"/>
    <w:uiPriority w:val="99"/>
    <w:unhideWhenUsed/>
    <w:rsid w:val="002179B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179B6"/>
    <w:rPr>
      <w:rFonts w:eastAsiaTheme="minorEastAsia"/>
      <w:color w:val="595959" w:themeColor="text1" w:themeTint="A6"/>
      <w:kern w:val="20"/>
      <w:sz w:val="20"/>
      <w:szCs w:val="20"/>
      <w:lang w:eastAsia="ja-JP"/>
    </w:rPr>
  </w:style>
  <w:style w:type="character" w:styleId="Hypertextovprepojenie">
    <w:name w:val="Hyperlink"/>
    <w:basedOn w:val="Predvolenpsmoodseku"/>
    <w:uiPriority w:val="99"/>
    <w:unhideWhenUsed/>
    <w:rsid w:val="00BA0B2B"/>
    <w:rPr>
      <w:color w:val="0000FF" w:themeColor="hyperlink"/>
      <w:u w:val="single"/>
    </w:rPr>
  </w:style>
  <w:style w:type="character" w:styleId="Nzovknihy">
    <w:name w:val="Book Title"/>
    <w:basedOn w:val="Predvolenpsmoodseku"/>
    <w:uiPriority w:val="33"/>
    <w:qFormat/>
    <w:rsid w:val="00E5386F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179B6"/>
    <w:pPr>
      <w:spacing w:before="40" w:after="160" w:line="288" w:lineRule="auto"/>
    </w:pPr>
    <w:rPr>
      <w:rFonts w:eastAsiaTheme="minorEastAsia"/>
      <w:color w:val="595959" w:themeColor="text1" w:themeTint="A6"/>
      <w:kern w:val="20"/>
      <w:sz w:val="20"/>
      <w:szCs w:val="20"/>
      <w:lang w:eastAsia="ja-JP"/>
    </w:rPr>
  </w:style>
  <w:style w:type="paragraph" w:styleId="Nadpis1">
    <w:name w:val="heading 1"/>
    <w:basedOn w:val="Normlny"/>
    <w:next w:val="Normlny"/>
    <w:link w:val="Nadpis1Char"/>
    <w:unhideWhenUsed/>
    <w:qFormat/>
    <w:rsid w:val="002179B6"/>
    <w:pPr>
      <w:jc w:val="right"/>
      <w:outlineLvl w:val="0"/>
    </w:pPr>
    <w:rPr>
      <w:rFonts w:asciiTheme="majorHAnsi" w:eastAsiaTheme="majorEastAsia" w:hAnsiTheme="majorHAnsi" w:cstheme="majorBidi"/>
      <w:caps/>
      <w:color w:val="4F81BD" w:themeColor="accent1"/>
      <w:sz w:val="21"/>
      <w:szCs w:val="21"/>
    </w:rPr>
  </w:style>
  <w:style w:type="paragraph" w:styleId="Nadpis2">
    <w:name w:val="heading 2"/>
    <w:basedOn w:val="Normlny"/>
    <w:next w:val="Normlny"/>
    <w:link w:val="Nadpis2Char"/>
    <w:unhideWhenUsed/>
    <w:qFormat/>
    <w:rsid w:val="002179B6"/>
    <w:pPr>
      <w:keepNext/>
      <w:keepLines/>
      <w:spacing w:after="40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2179B6"/>
    <w:rPr>
      <w:rFonts w:asciiTheme="majorHAnsi" w:eastAsiaTheme="majorEastAsia" w:hAnsiTheme="majorHAnsi" w:cstheme="majorBidi"/>
      <w:caps/>
      <w:color w:val="4F81BD" w:themeColor="accent1"/>
      <w:kern w:val="20"/>
      <w:sz w:val="21"/>
      <w:szCs w:val="21"/>
      <w:lang w:eastAsia="ja-JP"/>
    </w:rPr>
  </w:style>
  <w:style w:type="character" w:customStyle="1" w:styleId="Nadpis2Char">
    <w:name w:val="Nadpis 2 Char"/>
    <w:basedOn w:val="Predvolenpsmoodseku"/>
    <w:link w:val="Nadpis2"/>
    <w:rsid w:val="002179B6"/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ja-JP"/>
    </w:rPr>
  </w:style>
  <w:style w:type="paragraph" w:customStyle="1" w:styleId="Textivotopisu">
    <w:name w:val="Text životopisu"/>
    <w:basedOn w:val="Normlny"/>
    <w:qFormat/>
    <w:rsid w:val="002179B6"/>
    <w:pPr>
      <w:spacing w:after="40"/>
      <w:ind w:right="1440"/>
    </w:pPr>
  </w:style>
  <w:style w:type="table" w:customStyle="1" w:styleId="Tabukaivotopisu">
    <w:name w:val="Tabuľka životopisu"/>
    <w:basedOn w:val="Normlnatabuka"/>
    <w:uiPriority w:val="99"/>
    <w:rsid w:val="002179B6"/>
    <w:pPr>
      <w:spacing w:before="40" w:after="160" w:line="288" w:lineRule="auto"/>
    </w:pPr>
    <w:rPr>
      <w:rFonts w:eastAsiaTheme="minorEastAsia"/>
      <w:color w:val="595959" w:themeColor="text1" w:themeTint="A6"/>
      <w:sz w:val="20"/>
      <w:szCs w:val="20"/>
      <w:lang w:eastAsia="ja-JP"/>
    </w:rPr>
    <w:tblPr>
      <w:tblBorders>
        <w:insideH w:val="single" w:sz="4" w:space="0" w:color="4F81BD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paragraph" w:customStyle="1" w:styleId="Meno">
    <w:name w:val="Meno"/>
    <w:basedOn w:val="Normlny"/>
    <w:next w:val="Normlny"/>
    <w:qFormat/>
    <w:rsid w:val="002179B6"/>
    <w:pPr>
      <w:pBdr>
        <w:top w:val="single" w:sz="4" w:space="4" w:color="4F81BD" w:themeColor="accent1"/>
        <w:left w:val="single" w:sz="4" w:space="6" w:color="4F81BD" w:themeColor="accent1"/>
        <w:bottom w:val="single" w:sz="4" w:space="4" w:color="4F81BD" w:themeColor="accent1"/>
        <w:right w:val="single" w:sz="4" w:space="6" w:color="4F81BD" w:themeColor="accent1"/>
      </w:pBdr>
      <w:shd w:val="clear" w:color="auto" w:fill="4F81BD" w:themeFill="accent1"/>
      <w:spacing w:before="240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paragraph" w:customStyle="1" w:styleId="Default">
    <w:name w:val="Default"/>
    <w:rsid w:val="002179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179B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179B6"/>
    <w:rPr>
      <w:rFonts w:ascii="Tahoma" w:eastAsiaTheme="minorEastAsia" w:hAnsi="Tahoma" w:cs="Tahoma"/>
      <w:color w:val="595959" w:themeColor="text1" w:themeTint="A6"/>
      <w:kern w:val="20"/>
      <w:sz w:val="16"/>
      <w:szCs w:val="16"/>
      <w:lang w:eastAsia="ja-JP"/>
    </w:rPr>
  </w:style>
  <w:style w:type="character" w:styleId="Textzstupnhosymbolu">
    <w:name w:val="Placeholder Text"/>
    <w:basedOn w:val="Predvolenpsmoodseku"/>
    <w:uiPriority w:val="99"/>
    <w:semiHidden/>
    <w:rsid w:val="002179B6"/>
    <w:rPr>
      <w:color w:val="808080"/>
    </w:rPr>
  </w:style>
  <w:style w:type="paragraph" w:styleId="Hlavika">
    <w:name w:val="header"/>
    <w:basedOn w:val="Normlny"/>
    <w:link w:val="HlavikaChar"/>
    <w:uiPriority w:val="99"/>
    <w:unhideWhenUsed/>
    <w:rsid w:val="002179B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179B6"/>
    <w:rPr>
      <w:rFonts w:eastAsiaTheme="minorEastAsia"/>
      <w:color w:val="595959" w:themeColor="text1" w:themeTint="A6"/>
      <w:kern w:val="20"/>
      <w:sz w:val="20"/>
      <w:szCs w:val="20"/>
      <w:lang w:eastAsia="ja-JP"/>
    </w:rPr>
  </w:style>
  <w:style w:type="paragraph" w:styleId="Pta">
    <w:name w:val="footer"/>
    <w:basedOn w:val="Normlny"/>
    <w:link w:val="PtaChar"/>
    <w:uiPriority w:val="99"/>
    <w:unhideWhenUsed/>
    <w:rsid w:val="002179B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179B6"/>
    <w:rPr>
      <w:rFonts w:eastAsiaTheme="minorEastAsia"/>
      <w:color w:val="595959" w:themeColor="text1" w:themeTint="A6"/>
      <w:kern w:val="20"/>
      <w:sz w:val="20"/>
      <w:szCs w:val="20"/>
      <w:lang w:eastAsia="ja-JP"/>
    </w:rPr>
  </w:style>
  <w:style w:type="character" w:styleId="Hypertextovprepojenie">
    <w:name w:val="Hyperlink"/>
    <w:basedOn w:val="Predvolenpsmoodseku"/>
    <w:uiPriority w:val="99"/>
    <w:unhideWhenUsed/>
    <w:rsid w:val="00BA0B2B"/>
    <w:rPr>
      <w:color w:val="0000FF" w:themeColor="hyperlink"/>
      <w:u w:val="single"/>
    </w:rPr>
  </w:style>
  <w:style w:type="character" w:styleId="Nzovknihy">
    <w:name w:val="Book Title"/>
    <w:basedOn w:val="Predvolenpsmoodseku"/>
    <w:uiPriority w:val="33"/>
    <w:qFormat/>
    <w:rsid w:val="00E5386F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3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leje-autex.sk" TargetMode="External"/><Relationship Id="rId1" Type="http://schemas.openxmlformats.org/officeDocument/2006/relationships/hyperlink" Target="mailto:autexhaj@autexsro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23B9FFA8C5E47209DCA99CABA8248D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96D3B92-6152-4480-A016-9F80667F2FF9}"/>
      </w:docPartPr>
      <w:docPartBody>
        <w:p w:rsidR="00CC37A6" w:rsidRDefault="00D96BD1" w:rsidP="00D96BD1">
          <w:pPr>
            <w:pStyle w:val="223B9FFA8C5E47209DCA99CABA8248D5"/>
          </w:pPr>
          <w:r>
            <w:rPr>
              <w:rStyle w:val="Textzstupnhosymbolu"/>
              <w:lang w:bidi="sk-SK"/>
            </w:rPr>
            <w:t>[Autor]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96BD1"/>
    <w:rsid w:val="000B6C5E"/>
    <w:rsid w:val="000D1AE6"/>
    <w:rsid w:val="00132CB3"/>
    <w:rsid w:val="00134F32"/>
    <w:rsid w:val="00607C33"/>
    <w:rsid w:val="00687541"/>
    <w:rsid w:val="007A1D4D"/>
    <w:rsid w:val="008B4224"/>
    <w:rsid w:val="00AE7377"/>
    <w:rsid w:val="00B86A4A"/>
    <w:rsid w:val="00BB6CF8"/>
    <w:rsid w:val="00CC37A6"/>
    <w:rsid w:val="00CC4A63"/>
    <w:rsid w:val="00D0731B"/>
    <w:rsid w:val="00D238A2"/>
    <w:rsid w:val="00D96BD1"/>
    <w:rsid w:val="00F93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C37A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D96BD1"/>
    <w:rPr>
      <w:color w:val="808080"/>
    </w:rPr>
  </w:style>
  <w:style w:type="paragraph" w:customStyle="1" w:styleId="223B9FFA8C5E47209DCA99CABA8248D5">
    <w:name w:val="223B9FFA8C5E47209DCA99CABA8248D5"/>
    <w:rsid w:val="00D96BD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15E28-267E-4D02-9C85-51C810E18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AUTEX emulsynt</dc:creator>
  <cp:lastModifiedBy>AUTEX-ZA</cp:lastModifiedBy>
  <cp:revision>7</cp:revision>
  <cp:lastPrinted>2022-01-27T09:36:00Z</cp:lastPrinted>
  <dcterms:created xsi:type="dcterms:W3CDTF">2022-03-25T09:24:00Z</dcterms:created>
  <dcterms:modified xsi:type="dcterms:W3CDTF">2022-04-22T07:21:00Z</dcterms:modified>
</cp:coreProperties>
</file>